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F3DA" w14:textId="77777777" w:rsidR="00366AFD" w:rsidRDefault="00366AFD" w:rsidP="00366AFD">
      <w:pPr>
        <w:jc w:val="center"/>
        <w:rPr>
          <w:b/>
          <w:bCs/>
          <w:szCs w:val="32"/>
          <w:u w:val="single"/>
        </w:rPr>
      </w:pPr>
      <w:r>
        <w:rPr>
          <w:b/>
          <w:bCs/>
          <w:szCs w:val="32"/>
          <w:u w:val="single"/>
          <w:rtl/>
        </w:rPr>
        <w:t>לידיעת תלמידי אדריכלות שנה א 54/1+2+3</w:t>
      </w:r>
    </w:p>
    <w:p w14:paraId="7BE0D506" w14:textId="77777777" w:rsidR="00366AFD" w:rsidRDefault="00366AFD" w:rsidP="00366AFD">
      <w:pPr>
        <w:jc w:val="center"/>
        <w:rPr>
          <w:b/>
          <w:bCs/>
          <w:szCs w:val="36"/>
          <w:u w:val="single"/>
          <w:rtl/>
        </w:rPr>
      </w:pPr>
      <w:r>
        <w:rPr>
          <w:b/>
          <w:bCs/>
          <w:szCs w:val="36"/>
          <w:u w:val="single"/>
          <w:rtl/>
        </w:rPr>
        <w:t xml:space="preserve">בחינות סמסטר א' </w:t>
      </w:r>
      <w:r>
        <w:rPr>
          <w:b/>
          <w:bCs/>
          <w:szCs w:val="36"/>
          <w:u w:val="single"/>
        </w:rPr>
        <w:t>–</w:t>
      </w:r>
      <w:r>
        <w:rPr>
          <w:b/>
          <w:bCs/>
          <w:szCs w:val="36"/>
          <w:u w:val="single"/>
          <w:rtl/>
        </w:rPr>
        <w:t xml:space="preserve"> </w:t>
      </w:r>
      <w:r>
        <w:rPr>
          <w:rFonts w:hint="cs"/>
          <w:b/>
          <w:bCs/>
          <w:szCs w:val="36"/>
          <w:u w:val="single"/>
          <w:rtl/>
        </w:rPr>
        <w:t>תשפ"ד</w:t>
      </w:r>
    </w:p>
    <w:tbl>
      <w:tblPr>
        <w:bidiVisual/>
        <w:tblW w:w="9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1449"/>
        <w:gridCol w:w="1305"/>
        <w:gridCol w:w="2173"/>
        <w:gridCol w:w="2174"/>
        <w:gridCol w:w="2178"/>
        <w:gridCol w:w="54"/>
      </w:tblGrid>
      <w:tr w:rsidR="00366AFD" w14:paraId="59835699" w14:textId="77777777" w:rsidTr="00366AFD">
        <w:trPr>
          <w:gridBefore w:val="1"/>
          <w:gridAfter w:val="1"/>
          <w:wBefore w:w="28" w:type="dxa"/>
          <w:wAfter w:w="54" w:type="dxa"/>
          <w:trHeight w:val="283"/>
          <w:jc w:val="center"/>
        </w:trPr>
        <w:tc>
          <w:tcPr>
            <w:tcW w:w="14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7B59376B" w14:textId="77777777" w:rsidR="00366AFD" w:rsidRDefault="00366AF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תאריך</w:t>
            </w:r>
          </w:p>
        </w:tc>
        <w:tc>
          <w:tcPr>
            <w:tcW w:w="13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28B007F9" w14:textId="77777777" w:rsidR="00366AFD" w:rsidRDefault="00366AF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יום</w:t>
            </w:r>
          </w:p>
        </w:tc>
        <w:tc>
          <w:tcPr>
            <w:tcW w:w="217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042E97EE" w14:textId="77777777" w:rsidR="00366AFD" w:rsidRDefault="00366AF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מקצוע</w:t>
            </w:r>
          </w:p>
        </w:tc>
        <w:tc>
          <w:tcPr>
            <w:tcW w:w="217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0A8728FB" w14:textId="77777777" w:rsidR="00366AFD" w:rsidRDefault="00366AF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מרצים</w:t>
            </w:r>
          </w:p>
        </w:tc>
        <w:tc>
          <w:tcPr>
            <w:tcW w:w="21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7E3BDC67" w14:textId="77777777" w:rsidR="00366AFD" w:rsidRDefault="00366AF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שעות</w:t>
            </w:r>
          </w:p>
        </w:tc>
      </w:tr>
      <w:tr w:rsidR="00366AFD" w14:paraId="3B44E080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E1D1A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10.3.2024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F290A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6401F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תולדות האדריכלות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6B6C8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מרית א. 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F0878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9:00-11:00</w:t>
            </w:r>
          </w:p>
        </w:tc>
      </w:tr>
      <w:tr w:rsidR="00366AFD" w14:paraId="300E005F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56078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12.3.2024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2D0DB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8345AA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הנדסה תיאורית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45803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דיינה נ. 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128FC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9:00-11:00</w:t>
            </w:r>
          </w:p>
        </w:tc>
      </w:tr>
      <w:tr w:rsidR="00366AFD" w14:paraId="1CDB98E5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11887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14.3.2024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6BFA0" w14:textId="11277541" w:rsidR="00366AFD" w:rsidRDefault="00882B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202A9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הנדסת אנוש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D0DAC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רוית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יריב  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25821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  <w:t xml:space="preserve">הגשת עבודה </w:t>
            </w:r>
          </w:p>
        </w:tc>
      </w:tr>
      <w:tr w:rsidR="00366AFD" w14:paraId="3C174F72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557CB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17.3.2024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5CEFB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22A8F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עקרונות התכנון -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  <w:t>הגשה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76C58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מרצי הקורס 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42EE1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  <w:t>10:00-17:00</w:t>
            </w:r>
          </w:p>
        </w:tc>
      </w:tr>
      <w:tr w:rsidR="00366AFD" w14:paraId="0FA815EC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F9CDB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18.3.2024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17299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626C7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אנגלית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AA045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אינה, איירין 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35A33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  <w:t xml:space="preserve">הגשת עבודה </w:t>
            </w:r>
          </w:p>
        </w:tc>
      </w:tr>
      <w:tr w:rsidR="00366AFD" w14:paraId="2BC52AFA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5DA579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1E947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F05DC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לימודי מבנים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0A42E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אליאס ג. 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7820E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9:00-12:00</w:t>
            </w:r>
          </w:p>
        </w:tc>
      </w:tr>
      <w:tr w:rsidR="00366AFD" w14:paraId="599A775F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E9522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20.3.2024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C0ACD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71EF6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סק'צאפ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B7797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לריסה ג. 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7CCDA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  <w:t>הגשת עבודה מותנה בהגנה בזום</w:t>
            </w:r>
          </w:p>
        </w:tc>
      </w:tr>
      <w:tr w:rsidR="00366AFD" w14:paraId="135FBC40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26FD9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22.3.2024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9A6BC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E3809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מתמטיקה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8A4E3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חיים, ליליאן 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A565B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  <w:t>8:30-11:00</w:t>
            </w:r>
          </w:p>
        </w:tc>
      </w:tr>
      <w:tr w:rsidR="00366AFD" w14:paraId="60FAAB7C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598E6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26.3.2024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78B7D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F35BF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תורת הבניה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D931D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נזאר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א.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19841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9:00-12:00</w:t>
            </w:r>
          </w:p>
        </w:tc>
      </w:tr>
      <w:tr w:rsidR="00366AFD" w14:paraId="0C51B36F" w14:textId="77777777" w:rsidTr="00366AFD">
        <w:trPr>
          <w:gridBefore w:val="1"/>
          <w:gridAfter w:val="1"/>
          <w:wBefore w:w="28" w:type="dxa"/>
          <w:wAfter w:w="54" w:type="dxa"/>
          <w:trHeight w:val="547"/>
          <w:jc w:val="center"/>
        </w:trPr>
        <w:tc>
          <w:tcPr>
            <w:tcW w:w="1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846BB" w14:textId="50F63109" w:rsidR="00366AFD" w:rsidRDefault="004A79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12.4.2024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3D23" w14:textId="16C9A2AD" w:rsidR="00366AFD" w:rsidRDefault="00423F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2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534F" w14:textId="230735D8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חומרי בנין 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F79C" w14:textId="23A186C5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יובל ו.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E374" w14:textId="71E586D0" w:rsidR="00366AFD" w:rsidRDefault="00366AFD" w:rsidP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IL"/>
              </w:rPr>
              <w:t>9:00-1</w:t>
            </w:r>
            <w:r w:rsidR="004A79B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IL"/>
              </w:rPr>
              <w:t>1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IL"/>
              </w:rPr>
              <w:t>:00</w:t>
            </w:r>
          </w:p>
        </w:tc>
      </w:tr>
      <w:tr w:rsidR="00366AFD" w14:paraId="6AAB8789" w14:textId="77777777" w:rsidTr="00366AFD">
        <w:trPr>
          <w:trHeight w:val="614"/>
          <w:jc w:val="center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A4E4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מועדי ב'</w:t>
            </w:r>
          </w:p>
          <w:p w14:paraId="6D6F876E" w14:textId="77777777" w:rsidR="00366AFD" w:rsidRP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6AFD" w14:paraId="0C9F1C1F" w14:textId="77777777" w:rsidTr="00366AFD">
        <w:trPr>
          <w:gridBefore w:val="1"/>
          <w:gridAfter w:val="1"/>
          <w:wBefore w:w="28" w:type="dxa"/>
          <w:wAfter w:w="54" w:type="dxa"/>
          <w:trHeight w:val="4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8748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28.3.2024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04F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406F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הנדסה תיאורית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C2D5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דיינה נ.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3D6C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9:00-11:00</w:t>
            </w:r>
          </w:p>
        </w:tc>
      </w:tr>
      <w:tr w:rsidR="00366AFD" w14:paraId="092D6EEC" w14:textId="77777777" w:rsidTr="00366AFD">
        <w:trPr>
          <w:gridBefore w:val="1"/>
          <w:gridAfter w:val="1"/>
          <w:wBefore w:w="28" w:type="dxa"/>
          <w:wAfter w:w="54" w:type="dxa"/>
          <w:trHeight w:val="4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9A77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2.4.2024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B2D4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428F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מתמטיקה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5617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חיים א., ליליאן ח.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B101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  <w:t>9:00-11:30</w:t>
            </w:r>
          </w:p>
        </w:tc>
      </w:tr>
      <w:tr w:rsidR="00366AFD" w14:paraId="7D2444A0" w14:textId="77777777" w:rsidTr="00366AFD">
        <w:trPr>
          <w:gridBefore w:val="1"/>
          <w:gridAfter w:val="1"/>
          <w:wBefore w:w="28" w:type="dxa"/>
          <w:wAfter w:w="54" w:type="dxa"/>
          <w:trHeight w:val="4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1B71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3.4.2024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15E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C2C1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תולדות האדריכלות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267B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מרית א.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F149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9:00-11:00</w:t>
            </w:r>
          </w:p>
        </w:tc>
      </w:tr>
      <w:tr w:rsidR="00366AFD" w14:paraId="6F2EF9D1" w14:textId="77777777" w:rsidTr="00366AFD">
        <w:trPr>
          <w:gridBefore w:val="1"/>
          <w:gridAfter w:val="1"/>
          <w:wBefore w:w="28" w:type="dxa"/>
          <w:wAfter w:w="54" w:type="dxa"/>
          <w:trHeight w:val="4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966C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4.4.2024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A772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7DC8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תורת הבניה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326E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נזאר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א.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7875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9:00-12:00</w:t>
            </w:r>
          </w:p>
        </w:tc>
      </w:tr>
      <w:tr w:rsidR="00366AFD" w14:paraId="0EE4E155" w14:textId="77777777" w:rsidTr="00366AFD">
        <w:trPr>
          <w:gridBefore w:val="1"/>
          <w:gridAfter w:val="1"/>
          <w:wBefore w:w="28" w:type="dxa"/>
          <w:wAfter w:w="54" w:type="dxa"/>
          <w:trHeight w:val="4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B48B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7.4.2024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2ECF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8DD9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לימודי מבנים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7EB8" w14:textId="77777777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אליאס ג.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3E39" w14:textId="7777777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9:00-12:00</w:t>
            </w:r>
          </w:p>
        </w:tc>
      </w:tr>
      <w:tr w:rsidR="00366AFD" w14:paraId="1B79B6FE" w14:textId="77777777" w:rsidTr="00366AFD">
        <w:trPr>
          <w:gridBefore w:val="1"/>
          <w:gridAfter w:val="1"/>
          <w:wBefore w:w="28" w:type="dxa"/>
          <w:wAfter w:w="54" w:type="dxa"/>
          <w:trHeight w:val="47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3AB" w14:textId="365AC33B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  <w:r w:rsidR="004A79B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.4.2024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E6A" w14:textId="5284E4A0" w:rsidR="00366AFD" w:rsidRDefault="004A79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36F" w14:textId="0C6AF0CD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חומרי בנין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1BBD" w14:textId="0C090B75" w:rsidR="00366AFD" w:rsidRDefault="00366A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יובל וייס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0984" w14:textId="706A4D97" w:rsidR="00366AFD" w:rsidRDefault="00366AFD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9:00-1</w:t>
            </w:r>
            <w:r w:rsidR="004A79B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val="en-I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IL"/>
              </w:rPr>
              <w:t>:00</w:t>
            </w:r>
          </w:p>
        </w:tc>
      </w:tr>
    </w:tbl>
    <w:p w14:paraId="7DA53E6F" w14:textId="77777777" w:rsidR="00366AFD" w:rsidRDefault="00366AFD" w:rsidP="00366AFD">
      <w:pPr>
        <w:rPr>
          <w:rFonts w:ascii="Arial" w:hAnsi="Arial" w:cs="Arial"/>
          <w:b/>
          <w:bCs/>
          <w:sz w:val="24"/>
          <w:szCs w:val="24"/>
          <w:rtl/>
        </w:rPr>
      </w:pPr>
    </w:p>
    <w:p w14:paraId="4759303E" w14:textId="77777777" w:rsidR="00366AFD" w:rsidRDefault="00366AFD" w:rsidP="00366AFD">
      <w:pPr>
        <w:ind w:left="72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u w:val="single"/>
          <w:rtl/>
        </w:rPr>
        <w:t>הערות</w:t>
      </w:r>
      <w:r>
        <w:rPr>
          <w:rFonts w:ascii="Arial" w:hAnsi="Arial" w:cs="Arial"/>
          <w:b/>
          <w:bCs/>
          <w:rtl/>
        </w:rPr>
        <w:t xml:space="preserve">: </w:t>
      </w:r>
    </w:p>
    <w:p w14:paraId="439CA78B" w14:textId="77777777" w:rsidR="00366AFD" w:rsidRDefault="00366AFD" w:rsidP="00366AFD">
      <w:pPr>
        <w:ind w:left="72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נוכחות בשיעור הגשה היא חובה ותחשב לצורך היעדרות!!</w:t>
      </w:r>
    </w:p>
    <w:p w14:paraId="4E1A96E7" w14:textId="0FC3F519" w:rsidR="00366AFD" w:rsidRPr="004A79BC" w:rsidRDefault="00366AFD" w:rsidP="004A79BC">
      <w:pPr>
        <w:ind w:left="72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התאריך המצוין בלוח להגשת עבודות הוא התאריך האחרון להגשה- ניתן להגיש לפני בתיאום עם מרצה המקצוע.</w:t>
      </w:r>
    </w:p>
    <w:p w14:paraId="6D1BFD66" w14:textId="77777777" w:rsidR="00366AFD" w:rsidRDefault="00366AFD" w:rsidP="00366AFD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חובה להציג תעודה מזהה רשמית (</w:t>
      </w:r>
      <w:proofErr w:type="spellStart"/>
      <w:r>
        <w:rPr>
          <w:rFonts w:ascii="Arial" w:hAnsi="Arial" w:cs="Arial"/>
          <w:b/>
          <w:bCs/>
          <w:sz w:val="20"/>
          <w:szCs w:val="20"/>
          <w:rtl/>
        </w:rPr>
        <w:t>ת.זהות</w:t>
      </w:r>
      <w:proofErr w:type="spellEnd"/>
      <w:r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rtl/>
        </w:rPr>
        <w:t>רשיון</w:t>
      </w:r>
      <w:proofErr w:type="spellEnd"/>
      <w:r>
        <w:rPr>
          <w:rFonts w:ascii="Arial" w:hAnsi="Arial" w:cs="Arial"/>
          <w:b/>
          <w:bCs/>
          <w:sz w:val="20"/>
          <w:szCs w:val="20"/>
          <w:rtl/>
        </w:rPr>
        <w:t xml:space="preserve"> נהיגה עם תמונה או כרטיס סטודנט) בבחינות הסמסטר. סטודנט  יורשה להיבחן רק אם עמד בהתחייבויותיו הכספיות  לביה"ס. סטודנט עם חובות כספיים, לא יורשה להיבחן. לא ניתן להסדיר תשלומים ביום הבחינה.</w:t>
      </w:r>
    </w:p>
    <w:p w14:paraId="65D517F5" w14:textId="77777777" w:rsidR="00366AFD" w:rsidRDefault="00366AFD" w:rsidP="00366AFD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ערעורים על ציוני הסמסטר ניתן להגיש לא יאוחר משבועיים מיום קבלת הציונים.</w:t>
      </w:r>
    </w:p>
    <w:p w14:paraId="3B04ED0B" w14:textId="77777777" w:rsidR="00366AFD" w:rsidRDefault="00366AFD" w:rsidP="00366AFD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פנייה שתוגש באיחור לא תטופל.</w:t>
      </w:r>
    </w:p>
    <w:p w14:paraId="47068D12" w14:textId="77777777" w:rsidR="00366AFD" w:rsidRDefault="00366AFD" w:rsidP="00366AFD">
      <w:pPr>
        <w:ind w:left="2880"/>
        <w:jc w:val="center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                           </w:t>
      </w:r>
    </w:p>
    <w:p w14:paraId="615ECFB7" w14:textId="3E8DBE0E" w:rsidR="00366AFD" w:rsidRDefault="00366AFD" w:rsidP="00366AFD">
      <w:pPr>
        <w:ind w:left="2880"/>
        <w:jc w:val="center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</w:r>
      <w:r>
        <w:rPr>
          <w:rFonts w:ascii="Arial" w:hAnsi="Arial" w:cs="Arial"/>
          <w:b/>
          <w:bCs/>
          <w:sz w:val="20"/>
          <w:szCs w:val="20"/>
          <w:rtl/>
        </w:rPr>
        <w:tab/>
        <w:t>בהצלחה מזכירות המגמה</w:t>
      </w:r>
    </w:p>
    <w:p w14:paraId="4B3D726C" w14:textId="77777777" w:rsidR="00F2031B" w:rsidRDefault="00F2031B"/>
    <w:sectPr w:rsidR="00F2031B" w:rsidSect="00366A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FD"/>
    <w:rsid w:val="001A00F4"/>
    <w:rsid w:val="00366AFD"/>
    <w:rsid w:val="00423F13"/>
    <w:rsid w:val="004A79BC"/>
    <w:rsid w:val="00882BD6"/>
    <w:rsid w:val="00F2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19F6"/>
  <w15:chartTrackingRefBased/>
  <w15:docId w15:val="{4DD16CEE-EDA4-42A7-94BC-423EA40E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FD"/>
    <w:pPr>
      <w:bidi/>
      <w:spacing w:after="0" w:line="240" w:lineRule="auto"/>
    </w:pPr>
    <w:rPr>
      <w:rFonts w:ascii="Times New Roman" w:eastAsia="Times New Roman" w:hAnsi="Times New Roman" w:cs="Narkisim"/>
      <w:kern w:val="0"/>
      <w:sz w:val="28"/>
      <w:szCs w:val="28"/>
      <w:lang w:eastAsia="he-IL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66AF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AF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AF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AF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AF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AF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AF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AF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AF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66A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366A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66A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366AF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366AFD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366AF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366AF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366AF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366AF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66A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כותרת טקסט תו"/>
    <w:basedOn w:val="a0"/>
    <w:link w:val="a3"/>
    <w:uiPriority w:val="10"/>
    <w:rsid w:val="00366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66AF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lang w:eastAsia="en-US"/>
      <w14:ligatures w14:val="standardContextual"/>
    </w:rPr>
  </w:style>
  <w:style w:type="character" w:customStyle="1" w:styleId="a6">
    <w:name w:val="כותרת משנה תו"/>
    <w:basedOn w:val="a0"/>
    <w:link w:val="a5"/>
    <w:uiPriority w:val="11"/>
    <w:rsid w:val="00366A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66AF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a8">
    <w:name w:val="ציטוט תו"/>
    <w:basedOn w:val="a0"/>
    <w:link w:val="a7"/>
    <w:uiPriority w:val="29"/>
    <w:rsid w:val="00366AF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66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366AF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66A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c">
    <w:name w:val="ציטוט חזק תו"/>
    <w:basedOn w:val="a0"/>
    <w:link w:val="ab"/>
    <w:uiPriority w:val="30"/>
    <w:rsid w:val="00366AF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66A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Madar</dc:creator>
  <cp:keywords/>
  <dc:description/>
  <cp:lastModifiedBy>Sivan Madar</cp:lastModifiedBy>
  <cp:revision>3</cp:revision>
  <dcterms:created xsi:type="dcterms:W3CDTF">2024-02-14T07:18:00Z</dcterms:created>
  <dcterms:modified xsi:type="dcterms:W3CDTF">2024-02-14T10:23:00Z</dcterms:modified>
</cp:coreProperties>
</file>